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bookmarkStart w:id="0" w:name="_GoBack"/>
      <w:bookmarkEnd w:id="0"/>
      <w:r w:rsidRPr="00DB5826">
        <w:rPr>
          <w:rFonts w:ascii="Times New Roman" w:hAnsi="Times New Roman" w:cs="Times New Roman"/>
          <w:b/>
          <w:sz w:val="28"/>
          <w:szCs w:val="28"/>
          <w:lang w:val="en-GB"/>
        </w:rPr>
        <w:t>Ownership concentration, institutional ownership and stock return: The case of India</w:t>
      </w:r>
    </w:p>
    <w:p w14:paraId="08CE77BA" w14:textId="77777777" w:rsidR="008F529B" w:rsidRPr="00F2448C" w:rsidRDefault="008F529B" w:rsidP="0008434D">
      <w:pPr>
        <w:spacing w:line="240" w:lineRule="auto"/>
        <w:jc w:val="center"/>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754C8CC9" w14:textId="77777777"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4308F7" w:rsidRPr="00F2448C">
        <w:rPr>
          <w:rFonts w:ascii="Times New Roman" w:hAnsi="Times New Roman" w:cs="Times New Roman"/>
          <w:sz w:val="20"/>
          <w:lang w:val="en-GB"/>
        </w:rPr>
        <w:t xml:space="preserve">Shleifer and </w:t>
      </w:r>
      <w:proofErr w:type="spellStart"/>
      <w:r w:rsidR="004308F7" w:rsidRPr="00F2448C">
        <w:rPr>
          <w:rFonts w:ascii="Times New Roman" w:hAnsi="Times New Roman" w:cs="Times New Roman"/>
          <w:sz w:val="20"/>
          <w:lang w:val="en-GB"/>
        </w:rPr>
        <w:t>Vishny</w:t>
      </w:r>
      <w:proofErr w:type="spellEnd"/>
      <w:r w:rsidR="004308F7" w:rsidRPr="00F2448C">
        <w:rPr>
          <w:rFonts w:ascii="Times New Roman" w:hAnsi="Times New Roman" w:cs="Times New Roman"/>
          <w:sz w:val="20"/>
          <w:lang w:val="en-GB"/>
        </w:rPr>
        <w:t>,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proofErr w:type="spellStart"/>
      <w:r w:rsidR="004308F7" w:rsidRPr="00F2448C">
        <w:rPr>
          <w:rFonts w:ascii="Times New Roman" w:hAnsi="Times New Roman" w:cs="Times New Roman"/>
          <w:sz w:val="20"/>
          <w:lang w:val="en-GB"/>
        </w:rPr>
        <w:t>Laporta</w:t>
      </w:r>
      <w:proofErr w:type="spellEnd"/>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w:t>
      </w:r>
      <w:r w:rsidRPr="00F2448C">
        <w:rPr>
          <w:rFonts w:ascii="Times New Roman" w:hAnsi="Times New Roman" w:cs="Times New Roman"/>
          <w:sz w:val="20"/>
          <w:lang w:val="en-GB"/>
        </w:rPr>
        <w:lastRenderedPageBreak/>
        <w:t xml:space="preserve">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the work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t>
      </w:r>
      <w:proofErr w:type="spellStart"/>
      <w:r w:rsidRPr="00F2448C">
        <w:rPr>
          <w:rFonts w:ascii="Times New Roman" w:eastAsia="Times New Roman" w:hAnsi="Times New Roman" w:cs="Times New Roman"/>
          <w:sz w:val="20"/>
          <w:lang w:val="en-GB" w:eastAsia="en-IN"/>
        </w:rPr>
        <w:t>Wojcik</w:t>
      </w:r>
      <w:proofErr w:type="spellEnd"/>
      <w:r w:rsidRPr="00F2448C">
        <w:rPr>
          <w:rFonts w:ascii="Times New Roman" w:eastAsia="Times New Roman" w:hAnsi="Times New Roman" w:cs="Times New Roman"/>
          <w:sz w:val="20"/>
          <w:lang w:val="en-GB" w:eastAsia="en-IN"/>
        </w:rPr>
        <w:t xml:space="preserve"> (2005) on the German corporates revealed that concentrated ownership negatively affect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 xml:space="preserve">a higher stock return.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reported that institutional ownership reflected a positive stock return in stocks with high institutional ownership than stocks with low institutional ownership, which is in line with the findings of the Gompers and </w:t>
      </w:r>
      <w:proofErr w:type="spellStart"/>
      <w:r w:rsidRPr="00F2448C">
        <w:rPr>
          <w:rFonts w:ascii="Times New Roman" w:eastAsia="Times New Roman" w:hAnsi="Times New Roman" w:cs="Times New Roman"/>
          <w:sz w:val="20"/>
          <w:lang w:val="en-GB" w:eastAsia="en-IN"/>
        </w:rPr>
        <w:t>Metrick</w:t>
      </w:r>
      <w:proofErr w:type="spellEnd"/>
      <w:r w:rsidRPr="00F2448C">
        <w:rPr>
          <w:rFonts w:ascii="Times New Roman" w:eastAsia="Times New Roman" w:hAnsi="Times New Roman" w:cs="Times New Roman"/>
          <w:sz w:val="20"/>
          <w:lang w:val="en-GB" w:eastAsia="en-IN"/>
        </w:rPr>
        <w:t xml:space="preserve">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proofErr w:type="spellStart"/>
      <w:r w:rsidRPr="00F2448C">
        <w:rPr>
          <w:rFonts w:ascii="Times New Roman" w:eastAsia="Times New Roman" w:hAnsi="Times New Roman" w:cs="Times New Roman"/>
          <w:sz w:val="20"/>
          <w:lang w:val="en-GB" w:eastAsia="en-IN"/>
        </w:rPr>
        <w:t>Cella</w:t>
      </w:r>
      <w:proofErr w:type="spellEnd"/>
      <w:r w:rsidRPr="00F2448C">
        <w:rPr>
          <w:rFonts w:ascii="Times New Roman" w:eastAsia="Times New Roman" w:hAnsi="Times New Roman" w:cs="Times New Roman"/>
          <w:sz w:val="20"/>
          <w:lang w:val="en-GB" w:eastAsia="en-IN"/>
        </w:rPr>
        <w:t xml:space="preserve">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 xml:space="preserve">2015) that institutional owners enhance the price efficiency.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term positive effect as well as a negative long term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w:t>
      </w:r>
      <w:proofErr w:type="spellStart"/>
      <w:r w:rsidRPr="00F2448C">
        <w:rPr>
          <w:rFonts w:ascii="Times New Roman" w:eastAsia="Times New Roman" w:hAnsi="Times New Roman" w:cs="Times New Roman"/>
          <w:sz w:val="20"/>
          <w:lang w:val="en-GB" w:eastAsia="en-IN"/>
        </w:rPr>
        <w:t>Dasgupta</w:t>
      </w:r>
      <w:proofErr w:type="spellEnd"/>
      <w:r w:rsidRPr="00F2448C">
        <w:rPr>
          <w:rFonts w:ascii="Times New Roman" w:eastAsia="Times New Roman" w:hAnsi="Times New Roman" w:cs="Times New Roman"/>
          <w:sz w:val="20"/>
          <w:lang w:val="en-GB" w:eastAsia="en-IN"/>
        </w:rPr>
        <w:t xml:space="preserve">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lastRenderedPageBreak/>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(Sikorski,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w:t>
      </w:r>
      <w:r w:rsidRPr="00F2448C">
        <w:rPr>
          <w:rFonts w:ascii="Times New Roman" w:hAnsi="Times New Roman" w:cs="Times New Roman"/>
          <w:color w:val="000000" w:themeColor="text1"/>
          <w:sz w:val="20"/>
          <w:lang w:val="en-GB"/>
        </w:rPr>
        <w:lastRenderedPageBreak/>
        <w:t xml:space="preserve">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8F529B"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8F529B"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w:t>
      </w:r>
      <w:proofErr w:type="spellStart"/>
      <w:r w:rsidRPr="00F2448C">
        <w:rPr>
          <w:rFonts w:ascii="Times New Roman" w:eastAsia="Times New Roman" w:hAnsi="Times New Roman" w:cs="Times New Roman"/>
          <w:iCs/>
          <w:color w:val="000000" w:themeColor="text1"/>
          <w:sz w:val="20"/>
          <w:szCs w:val="24"/>
          <w:lang w:val="en-GB"/>
        </w:rPr>
        <w:t>payout</w:t>
      </w:r>
      <w:proofErr w:type="spellEnd"/>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0C81C677" w14:textId="56B70FB6" w:rsidR="0003678D" w:rsidRPr="00F2448C" w:rsidRDefault="0028447D"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69A7738F" w14:textId="43F994FB" w:rsidR="00A03C33"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proofErr w:type="gramStart"/>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roofErr w:type="gramEnd"/>
    </w:p>
    <w:p w14:paraId="0BCC6FA8" w14:textId="77777777" w:rsidR="00A33495" w:rsidRPr="00F2448C" w:rsidRDefault="00A33495" w:rsidP="0008434D">
      <w:pPr>
        <w:spacing w:after="0" w:line="240" w:lineRule="auto"/>
        <w:jc w:val="center"/>
        <w:rPr>
          <w:rFonts w:ascii="Times New Roman" w:eastAsia="Times New Roman" w:hAnsi="Times New Roman" w:cs="Times New Roman"/>
          <w:iCs/>
          <w:color w:val="000000" w:themeColor="text1"/>
          <w:sz w:val="20"/>
          <w:szCs w:val="24"/>
          <w:lang w:val="en-GB"/>
        </w:rPr>
      </w:pPr>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39DFF8F4" w14:textId="792D7CE6"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w:t>
      </w:r>
      <w:r w:rsidRPr="00F2448C">
        <w:rPr>
          <w:rFonts w:ascii="Times New Roman" w:eastAsia="Times New Roman" w:hAnsi="Times New Roman" w:cs="Times New Roman"/>
          <w:iCs/>
          <w:sz w:val="20"/>
          <w:szCs w:val="24"/>
          <w:lang w:val="en-GB"/>
        </w:rPr>
        <w:lastRenderedPageBreak/>
        <w:t xml:space="preserve">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xml:space="preserve">, which is similar to the early findings of (Clark and </w:t>
      </w:r>
      <w:proofErr w:type="spellStart"/>
      <w:r w:rsidR="00CE1C86" w:rsidRPr="00F2448C">
        <w:rPr>
          <w:rFonts w:ascii="Times New Roman" w:eastAsia="Times New Roman" w:hAnsi="Times New Roman" w:cs="Times New Roman"/>
          <w:iCs/>
          <w:color w:val="000000" w:themeColor="text1"/>
          <w:sz w:val="20"/>
          <w:szCs w:val="24"/>
          <w:lang w:val="en-GB"/>
        </w:rPr>
        <w:t>Wojcik</w:t>
      </w:r>
      <w:proofErr w:type="spellEnd"/>
      <w:r w:rsidR="00CE1C86" w:rsidRPr="00F2448C">
        <w:rPr>
          <w:rFonts w:ascii="Times New Roman" w:eastAsia="Times New Roman" w:hAnsi="Times New Roman" w:cs="Times New Roman"/>
          <w:iCs/>
          <w:color w:val="000000" w:themeColor="text1"/>
          <w:sz w:val="20"/>
          <w:szCs w:val="24"/>
          <w:lang w:val="en-GB"/>
        </w:rPr>
        <w:t>,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6122149" w14:textId="12706CAA" w:rsidR="004457C0"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0C7DEF27" w14:textId="77777777" w:rsidR="0068676A" w:rsidRPr="00F2448C" w:rsidRDefault="0068676A" w:rsidP="0008434D">
      <w:pPr>
        <w:autoSpaceDE w:val="0"/>
        <w:autoSpaceDN w:val="0"/>
        <w:adjustRightInd w:val="0"/>
        <w:spacing w:after="0" w:line="240" w:lineRule="auto"/>
        <w:jc w:val="both"/>
        <w:rPr>
          <w:rFonts w:ascii="Times New Roman" w:hAnsi="Times New Roman" w:cs="Times New Roman"/>
          <w:color w:val="000000"/>
          <w:sz w:val="20"/>
          <w:szCs w:val="19"/>
          <w:lang w:val="en-GB"/>
        </w:rPr>
      </w:pPr>
    </w:p>
    <w:p w14:paraId="6093EBB2" w14:textId="06BC2D10" w:rsidR="00DE3873"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roofErr w:type="gramStart"/>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roofErr w:type="gramEnd"/>
    </w:p>
    <w:p w14:paraId="3CE4336F" w14:textId="77777777" w:rsidR="00A33495" w:rsidRPr="00F2448C" w:rsidRDefault="00A33495"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
    <w:tbl>
      <w:tblPr>
        <w:tblW w:w="7180" w:type="dxa"/>
        <w:jc w:val="center"/>
        <w:tblLook w:val="04A0" w:firstRow="1" w:lastRow="0" w:firstColumn="1" w:lastColumn="0" w:noHBand="0" w:noVBand="1"/>
      </w:tblPr>
      <w:tblGrid>
        <w:gridCol w:w="2500"/>
        <w:gridCol w:w="1560"/>
        <w:gridCol w:w="1560"/>
        <w:gridCol w:w="1560"/>
      </w:tblGrid>
      <w:tr w:rsidR="00DE3873" w:rsidRPr="00F2448C" w14:paraId="52D7D6CD" w14:textId="77777777" w:rsidTr="00DE3873">
        <w:trPr>
          <w:trHeight w:val="288"/>
          <w:jc w:val="center"/>
        </w:trPr>
        <w:tc>
          <w:tcPr>
            <w:tcW w:w="2500" w:type="dxa"/>
            <w:tcBorders>
              <w:top w:val="single" w:sz="4" w:space="0" w:color="auto"/>
              <w:left w:val="nil"/>
              <w:bottom w:val="nil"/>
              <w:right w:val="nil"/>
            </w:tcBorders>
            <w:shd w:val="clear" w:color="auto" w:fill="auto"/>
            <w:noWrap/>
            <w:vAlign w:val="bottom"/>
            <w:hideMark/>
          </w:tcPr>
          <w:p w14:paraId="25C6075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Models</w:t>
            </w:r>
          </w:p>
        </w:tc>
        <w:tc>
          <w:tcPr>
            <w:tcW w:w="1560" w:type="dxa"/>
            <w:tcBorders>
              <w:top w:val="single" w:sz="4" w:space="0" w:color="auto"/>
              <w:left w:val="nil"/>
              <w:bottom w:val="nil"/>
              <w:right w:val="nil"/>
            </w:tcBorders>
            <w:shd w:val="clear" w:color="auto" w:fill="auto"/>
            <w:noWrap/>
            <w:vAlign w:val="center"/>
            <w:hideMark/>
          </w:tcPr>
          <w:p w14:paraId="39159D1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Model-1</w:t>
            </w:r>
          </w:p>
        </w:tc>
        <w:tc>
          <w:tcPr>
            <w:tcW w:w="1560" w:type="dxa"/>
            <w:tcBorders>
              <w:top w:val="single" w:sz="4" w:space="0" w:color="auto"/>
              <w:left w:val="nil"/>
              <w:bottom w:val="nil"/>
              <w:right w:val="nil"/>
            </w:tcBorders>
            <w:shd w:val="clear" w:color="auto" w:fill="auto"/>
            <w:noWrap/>
            <w:vAlign w:val="center"/>
            <w:hideMark/>
          </w:tcPr>
          <w:p w14:paraId="0D37F2B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Model-2</w:t>
            </w:r>
          </w:p>
        </w:tc>
        <w:tc>
          <w:tcPr>
            <w:tcW w:w="1560" w:type="dxa"/>
            <w:tcBorders>
              <w:top w:val="single" w:sz="4" w:space="0" w:color="auto"/>
              <w:left w:val="nil"/>
              <w:bottom w:val="nil"/>
              <w:right w:val="nil"/>
            </w:tcBorders>
            <w:shd w:val="clear" w:color="auto" w:fill="auto"/>
            <w:noWrap/>
            <w:vAlign w:val="center"/>
            <w:hideMark/>
          </w:tcPr>
          <w:p w14:paraId="36681AC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Model-3</w:t>
            </w:r>
          </w:p>
        </w:tc>
      </w:tr>
      <w:tr w:rsidR="00DE3873" w:rsidRPr="00F2448C" w14:paraId="266403A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584B24"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DV</w:t>
            </w:r>
          </w:p>
        </w:tc>
        <w:tc>
          <w:tcPr>
            <w:tcW w:w="1560" w:type="dxa"/>
            <w:tcBorders>
              <w:top w:val="nil"/>
              <w:left w:val="nil"/>
              <w:bottom w:val="nil"/>
              <w:right w:val="nil"/>
            </w:tcBorders>
            <w:shd w:val="clear" w:color="auto" w:fill="auto"/>
            <w:noWrap/>
            <w:vAlign w:val="center"/>
            <w:hideMark/>
          </w:tcPr>
          <w:p w14:paraId="7F4787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762C21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1603AF2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r>
      <w:tr w:rsidR="00DE3873" w:rsidRPr="00F2448C" w14:paraId="2F8531D8"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65EBE664" w14:textId="31A921CB"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IV/</w:t>
            </w:r>
            <w:r w:rsidR="008172D4" w:rsidRPr="00F2448C">
              <w:rPr>
                <w:rFonts w:ascii="Times New Roman" w:eastAsia="Times New Roman" w:hAnsi="Times New Roman" w:cs="Times New Roman"/>
                <w:color w:val="000000"/>
                <w:lang w:val="en-GB"/>
              </w:rPr>
              <w:t>methodology</w:t>
            </w:r>
          </w:p>
        </w:tc>
        <w:tc>
          <w:tcPr>
            <w:tcW w:w="1560" w:type="dxa"/>
            <w:tcBorders>
              <w:top w:val="nil"/>
              <w:left w:val="nil"/>
              <w:bottom w:val="single" w:sz="4" w:space="0" w:color="auto"/>
              <w:right w:val="nil"/>
            </w:tcBorders>
            <w:shd w:val="clear" w:color="auto" w:fill="auto"/>
            <w:noWrap/>
            <w:vAlign w:val="center"/>
            <w:hideMark/>
          </w:tcPr>
          <w:p w14:paraId="25F27F4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630A287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17BFAE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r>
      <w:tr w:rsidR="00DE3873" w:rsidRPr="00F2448C" w14:paraId="4B4FFE4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3D5EE6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126E0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B90785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066301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30B06AD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6DAE9C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Intercept</w:t>
            </w:r>
          </w:p>
        </w:tc>
        <w:tc>
          <w:tcPr>
            <w:tcW w:w="1560" w:type="dxa"/>
            <w:tcBorders>
              <w:top w:val="nil"/>
              <w:left w:val="nil"/>
              <w:bottom w:val="nil"/>
              <w:right w:val="nil"/>
            </w:tcBorders>
            <w:shd w:val="clear" w:color="auto" w:fill="auto"/>
            <w:noWrap/>
            <w:vAlign w:val="center"/>
            <w:hideMark/>
          </w:tcPr>
          <w:p w14:paraId="27470D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5909.927</w:t>
            </w:r>
          </w:p>
        </w:tc>
        <w:tc>
          <w:tcPr>
            <w:tcW w:w="1560" w:type="dxa"/>
            <w:tcBorders>
              <w:top w:val="nil"/>
              <w:left w:val="nil"/>
              <w:bottom w:val="nil"/>
              <w:right w:val="nil"/>
            </w:tcBorders>
            <w:shd w:val="clear" w:color="auto" w:fill="auto"/>
            <w:noWrap/>
            <w:vAlign w:val="center"/>
            <w:hideMark/>
          </w:tcPr>
          <w:p w14:paraId="6BE54B6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5814.435</w:t>
            </w:r>
          </w:p>
        </w:tc>
        <w:tc>
          <w:tcPr>
            <w:tcW w:w="1560" w:type="dxa"/>
            <w:tcBorders>
              <w:top w:val="nil"/>
              <w:left w:val="nil"/>
              <w:bottom w:val="nil"/>
              <w:right w:val="nil"/>
            </w:tcBorders>
            <w:shd w:val="clear" w:color="auto" w:fill="auto"/>
            <w:noWrap/>
            <w:vAlign w:val="center"/>
            <w:hideMark/>
          </w:tcPr>
          <w:p w14:paraId="568B14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5122.33</w:t>
            </w:r>
          </w:p>
        </w:tc>
      </w:tr>
      <w:tr w:rsidR="00DE3873" w:rsidRPr="00F2448C" w14:paraId="3140459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AFFF13A"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7D63B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(4.76)***</w:t>
            </w:r>
          </w:p>
        </w:tc>
        <w:tc>
          <w:tcPr>
            <w:tcW w:w="1560" w:type="dxa"/>
            <w:tcBorders>
              <w:top w:val="nil"/>
              <w:left w:val="nil"/>
              <w:bottom w:val="nil"/>
              <w:right w:val="nil"/>
            </w:tcBorders>
            <w:shd w:val="clear" w:color="auto" w:fill="auto"/>
            <w:noWrap/>
            <w:vAlign w:val="center"/>
            <w:hideMark/>
          </w:tcPr>
          <w:p w14:paraId="00B859D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(5.44)***</w:t>
            </w:r>
          </w:p>
        </w:tc>
        <w:tc>
          <w:tcPr>
            <w:tcW w:w="1560" w:type="dxa"/>
            <w:tcBorders>
              <w:top w:val="nil"/>
              <w:left w:val="nil"/>
              <w:bottom w:val="nil"/>
              <w:right w:val="nil"/>
            </w:tcBorders>
            <w:shd w:val="clear" w:color="auto" w:fill="auto"/>
            <w:noWrap/>
            <w:vAlign w:val="center"/>
            <w:hideMark/>
          </w:tcPr>
          <w:p w14:paraId="3B5B1B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(3.11)***</w:t>
            </w:r>
          </w:p>
        </w:tc>
      </w:tr>
      <w:tr w:rsidR="00DE3873" w:rsidRPr="00F2448C" w14:paraId="54C9121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9B962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OC1</w:t>
            </w:r>
          </w:p>
        </w:tc>
        <w:tc>
          <w:tcPr>
            <w:tcW w:w="1560" w:type="dxa"/>
            <w:tcBorders>
              <w:top w:val="nil"/>
              <w:left w:val="nil"/>
              <w:bottom w:val="nil"/>
              <w:right w:val="nil"/>
            </w:tcBorders>
            <w:shd w:val="clear" w:color="auto" w:fill="auto"/>
            <w:noWrap/>
            <w:vAlign w:val="center"/>
            <w:hideMark/>
          </w:tcPr>
          <w:p w14:paraId="27FA3E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-1350.87</w:t>
            </w:r>
          </w:p>
        </w:tc>
        <w:tc>
          <w:tcPr>
            <w:tcW w:w="1560" w:type="dxa"/>
            <w:tcBorders>
              <w:top w:val="nil"/>
              <w:left w:val="nil"/>
              <w:bottom w:val="nil"/>
              <w:right w:val="nil"/>
            </w:tcBorders>
            <w:shd w:val="clear" w:color="auto" w:fill="auto"/>
            <w:noWrap/>
            <w:vAlign w:val="center"/>
            <w:hideMark/>
          </w:tcPr>
          <w:p w14:paraId="464683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A37411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02B3433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0C86E3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439676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(-1.00)</w:t>
            </w:r>
          </w:p>
        </w:tc>
        <w:tc>
          <w:tcPr>
            <w:tcW w:w="1560" w:type="dxa"/>
            <w:tcBorders>
              <w:top w:val="nil"/>
              <w:left w:val="nil"/>
              <w:bottom w:val="nil"/>
              <w:right w:val="nil"/>
            </w:tcBorders>
            <w:shd w:val="clear" w:color="auto" w:fill="auto"/>
            <w:noWrap/>
            <w:vAlign w:val="center"/>
            <w:hideMark/>
          </w:tcPr>
          <w:p w14:paraId="0941E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07925F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60A43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264277"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OC5</w:t>
            </w:r>
          </w:p>
        </w:tc>
        <w:tc>
          <w:tcPr>
            <w:tcW w:w="1560" w:type="dxa"/>
            <w:tcBorders>
              <w:top w:val="nil"/>
              <w:left w:val="nil"/>
              <w:bottom w:val="nil"/>
              <w:right w:val="nil"/>
            </w:tcBorders>
            <w:shd w:val="clear" w:color="auto" w:fill="auto"/>
            <w:noWrap/>
            <w:vAlign w:val="center"/>
            <w:hideMark/>
          </w:tcPr>
          <w:p w14:paraId="00D08C8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BABD17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-503.13</w:t>
            </w:r>
          </w:p>
        </w:tc>
        <w:tc>
          <w:tcPr>
            <w:tcW w:w="1560" w:type="dxa"/>
            <w:tcBorders>
              <w:top w:val="nil"/>
              <w:left w:val="nil"/>
              <w:bottom w:val="nil"/>
              <w:right w:val="nil"/>
            </w:tcBorders>
            <w:shd w:val="clear" w:color="auto" w:fill="auto"/>
            <w:noWrap/>
            <w:vAlign w:val="center"/>
            <w:hideMark/>
          </w:tcPr>
          <w:p w14:paraId="699075F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7BD6A3D9"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D0074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1B3AED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5485B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(-0.59)</w:t>
            </w:r>
          </w:p>
        </w:tc>
        <w:tc>
          <w:tcPr>
            <w:tcW w:w="1560" w:type="dxa"/>
            <w:tcBorders>
              <w:top w:val="nil"/>
              <w:left w:val="nil"/>
              <w:bottom w:val="nil"/>
              <w:right w:val="nil"/>
            </w:tcBorders>
            <w:shd w:val="clear" w:color="auto" w:fill="auto"/>
            <w:noWrap/>
            <w:vAlign w:val="center"/>
            <w:hideMark/>
          </w:tcPr>
          <w:p w14:paraId="13E965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4B63A9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458ACE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IO</w:t>
            </w:r>
          </w:p>
        </w:tc>
        <w:tc>
          <w:tcPr>
            <w:tcW w:w="1560" w:type="dxa"/>
            <w:tcBorders>
              <w:top w:val="nil"/>
              <w:left w:val="nil"/>
              <w:bottom w:val="nil"/>
              <w:right w:val="nil"/>
            </w:tcBorders>
            <w:shd w:val="clear" w:color="auto" w:fill="auto"/>
            <w:noWrap/>
            <w:vAlign w:val="center"/>
            <w:hideMark/>
          </w:tcPr>
          <w:p w14:paraId="08EDD12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67D26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A4CF09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-864.821</w:t>
            </w:r>
          </w:p>
        </w:tc>
      </w:tr>
      <w:tr w:rsidR="00DE3873" w:rsidRPr="00F2448C" w14:paraId="6137B7C2"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F301CF"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E99303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5DAF1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B78B7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(-1.69)*</w:t>
            </w:r>
          </w:p>
        </w:tc>
      </w:tr>
      <w:tr w:rsidR="00DE3873" w:rsidRPr="00F2448C" w14:paraId="2077D16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1916CB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FS</w:t>
            </w:r>
          </w:p>
        </w:tc>
        <w:tc>
          <w:tcPr>
            <w:tcW w:w="1560" w:type="dxa"/>
            <w:tcBorders>
              <w:top w:val="nil"/>
              <w:left w:val="nil"/>
              <w:bottom w:val="nil"/>
              <w:right w:val="nil"/>
            </w:tcBorders>
            <w:shd w:val="clear" w:color="auto" w:fill="auto"/>
            <w:noWrap/>
            <w:vAlign w:val="center"/>
            <w:hideMark/>
          </w:tcPr>
          <w:p w14:paraId="330456C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-10.854</w:t>
            </w:r>
          </w:p>
        </w:tc>
        <w:tc>
          <w:tcPr>
            <w:tcW w:w="1560" w:type="dxa"/>
            <w:tcBorders>
              <w:top w:val="nil"/>
              <w:left w:val="nil"/>
              <w:bottom w:val="nil"/>
              <w:right w:val="nil"/>
            </w:tcBorders>
            <w:shd w:val="clear" w:color="auto" w:fill="auto"/>
            <w:noWrap/>
            <w:vAlign w:val="center"/>
            <w:hideMark/>
          </w:tcPr>
          <w:p w14:paraId="4882409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-9.643</w:t>
            </w:r>
          </w:p>
        </w:tc>
        <w:tc>
          <w:tcPr>
            <w:tcW w:w="1560" w:type="dxa"/>
            <w:tcBorders>
              <w:top w:val="nil"/>
              <w:left w:val="nil"/>
              <w:bottom w:val="nil"/>
              <w:right w:val="nil"/>
            </w:tcBorders>
            <w:shd w:val="clear" w:color="auto" w:fill="auto"/>
            <w:noWrap/>
            <w:vAlign w:val="center"/>
            <w:hideMark/>
          </w:tcPr>
          <w:p w14:paraId="47F516C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-7.936</w:t>
            </w:r>
          </w:p>
        </w:tc>
      </w:tr>
      <w:tr w:rsidR="00DE3873" w:rsidRPr="00F2448C" w14:paraId="43826175"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FA8E84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DE2FA4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(-1.04)</w:t>
            </w:r>
          </w:p>
        </w:tc>
        <w:tc>
          <w:tcPr>
            <w:tcW w:w="1560" w:type="dxa"/>
            <w:tcBorders>
              <w:top w:val="nil"/>
              <w:left w:val="nil"/>
              <w:bottom w:val="nil"/>
              <w:right w:val="nil"/>
            </w:tcBorders>
            <w:shd w:val="clear" w:color="auto" w:fill="auto"/>
            <w:noWrap/>
            <w:vAlign w:val="center"/>
            <w:hideMark/>
          </w:tcPr>
          <w:p w14:paraId="07A8488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5DF2B7C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5380882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BE19680"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FA</w:t>
            </w:r>
          </w:p>
        </w:tc>
        <w:tc>
          <w:tcPr>
            <w:tcW w:w="1560" w:type="dxa"/>
            <w:tcBorders>
              <w:top w:val="nil"/>
              <w:left w:val="nil"/>
              <w:bottom w:val="nil"/>
              <w:right w:val="nil"/>
            </w:tcBorders>
            <w:shd w:val="clear" w:color="auto" w:fill="auto"/>
            <w:noWrap/>
            <w:vAlign w:val="center"/>
            <w:hideMark/>
          </w:tcPr>
          <w:p w14:paraId="185793E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-1379.08</w:t>
            </w:r>
          </w:p>
        </w:tc>
        <w:tc>
          <w:tcPr>
            <w:tcW w:w="1560" w:type="dxa"/>
            <w:tcBorders>
              <w:top w:val="nil"/>
              <w:left w:val="nil"/>
              <w:bottom w:val="nil"/>
              <w:right w:val="nil"/>
            </w:tcBorders>
            <w:shd w:val="clear" w:color="auto" w:fill="auto"/>
            <w:noWrap/>
            <w:vAlign w:val="center"/>
            <w:hideMark/>
          </w:tcPr>
          <w:p w14:paraId="72D1D1D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-1423.45</w:t>
            </w:r>
          </w:p>
        </w:tc>
        <w:tc>
          <w:tcPr>
            <w:tcW w:w="1560" w:type="dxa"/>
            <w:tcBorders>
              <w:top w:val="nil"/>
              <w:left w:val="nil"/>
              <w:bottom w:val="nil"/>
              <w:right w:val="nil"/>
            </w:tcBorders>
            <w:shd w:val="clear" w:color="auto" w:fill="auto"/>
            <w:noWrap/>
            <w:vAlign w:val="center"/>
            <w:hideMark/>
          </w:tcPr>
          <w:p w14:paraId="766D206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-1281.962</w:t>
            </w:r>
          </w:p>
        </w:tc>
      </w:tr>
      <w:tr w:rsidR="00DE3873" w:rsidRPr="00F2448C" w14:paraId="24CA7FB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4F4025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00A394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w:t>
            </w:r>
          </w:p>
        </w:tc>
        <w:tc>
          <w:tcPr>
            <w:tcW w:w="1560" w:type="dxa"/>
            <w:tcBorders>
              <w:top w:val="nil"/>
              <w:left w:val="nil"/>
              <w:bottom w:val="nil"/>
              <w:right w:val="nil"/>
            </w:tcBorders>
            <w:shd w:val="clear" w:color="auto" w:fill="auto"/>
            <w:noWrap/>
            <w:vAlign w:val="center"/>
            <w:hideMark/>
          </w:tcPr>
          <w:p w14:paraId="4343BC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(-4.22)***</w:t>
            </w:r>
          </w:p>
        </w:tc>
        <w:tc>
          <w:tcPr>
            <w:tcW w:w="1560" w:type="dxa"/>
            <w:tcBorders>
              <w:top w:val="nil"/>
              <w:left w:val="nil"/>
              <w:bottom w:val="nil"/>
              <w:right w:val="nil"/>
            </w:tcBorders>
            <w:shd w:val="clear" w:color="auto" w:fill="auto"/>
            <w:noWrap/>
            <w:vAlign w:val="center"/>
            <w:hideMark/>
          </w:tcPr>
          <w:p w14:paraId="18B64D9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(-2.94)***</w:t>
            </w:r>
          </w:p>
        </w:tc>
      </w:tr>
      <w:tr w:rsidR="00DE3873" w:rsidRPr="00F2448C" w14:paraId="5705D16C"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792EA6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FR</w:t>
            </w:r>
          </w:p>
        </w:tc>
        <w:tc>
          <w:tcPr>
            <w:tcW w:w="1560" w:type="dxa"/>
            <w:tcBorders>
              <w:top w:val="nil"/>
              <w:left w:val="nil"/>
              <w:bottom w:val="nil"/>
              <w:right w:val="nil"/>
            </w:tcBorders>
            <w:shd w:val="clear" w:color="auto" w:fill="auto"/>
            <w:noWrap/>
            <w:vAlign w:val="center"/>
            <w:hideMark/>
          </w:tcPr>
          <w:p w14:paraId="2A3801A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-124.81</w:t>
            </w:r>
          </w:p>
        </w:tc>
        <w:tc>
          <w:tcPr>
            <w:tcW w:w="1560" w:type="dxa"/>
            <w:tcBorders>
              <w:top w:val="nil"/>
              <w:left w:val="nil"/>
              <w:bottom w:val="nil"/>
              <w:right w:val="nil"/>
            </w:tcBorders>
            <w:shd w:val="clear" w:color="auto" w:fill="auto"/>
            <w:noWrap/>
            <w:vAlign w:val="center"/>
            <w:hideMark/>
          </w:tcPr>
          <w:p w14:paraId="41A379D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-103.89</w:t>
            </w:r>
          </w:p>
        </w:tc>
        <w:tc>
          <w:tcPr>
            <w:tcW w:w="1560" w:type="dxa"/>
            <w:tcBorders>
              <w:top w:val="nil"/>
              <w:left w:val="nil"/>
              <w:bottom w:val="nil"/>
              <w:right w:val="nil"/>
            </w:tcBorders>
            <w:shd w:val="clear" w:color="auto" w:fill="auto"/>
            <w:noWrap/>
            <w:vAlign w:val="center"/>
            <w:hideMark/>
          </w:tcPr>
          <w:p w14:paraId="3787279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-84.705</w:t>
            </w:r>
          </w:p>
        </w:tc>
      </w:tr>
      <w:tr w:rsidR="00DE3873" w:rsidRPr="00F2448C" w14:paraId="6D83A8D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3FFDB8"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2F53B6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(-0.76)</w:t>
            </w:r>
          </w:p>
        </w:tc>
        <w:tc>
          <w:tcPr>
            <w:tcW w:w="1560" w:type="dxa"/>
            <w:tcBorders>
              <w:top w:val="nil"/>
              <w:left w:val="nil"/>
              <w:bottom w:val="nil"/>
              <w:right w:val="nil"/>
            </w:tcBorders>
            <w:shd w:val="clear" w:color="auto" w:fill="auto"/>
            <w:noWrap/>
            <w:vAlign w:val="center"/>
            <w:hideMark/>
          </w:tcPr>
          <w:p w14:paraId="24F3F9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(-0.68)</w:t>
            </w:r>
          </w:p>
        </w:tc>
        <w:tc>
          <w:tcPr>
            <w:tcW w:w="1560" w:type="dxa"/>
            <w:tcBorders>
              <w:top w:val="nil"/>
              <w:left w:val="nil"/>
              <w:bottom w:val="nil"/>
              <w:right w:val="nil"/>
            </w:tcBorders>
            <w:shd w:val="clear" w:color="auto" w:fill="auto"/>
            <w:noWrap/>
            <w:vAlign w:val="center"/>
            <w:hideMark/>
          </w:tcPr>
          <w:p w14:paraId="3EBCD6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(-0.70)</w:t>
            </w:r>
          </w:p>
        </w:tc>
      </w:tr>
      <w:tr w:rsidR="00DE3873" w:rsidRPr="00F2448C" w14:paraId="1C5FA65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6EF1610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FP</w:t>
            </w:r>
          </w:p>
        </w:tc>
        <w:tc>
          <w:tcPr>
            <w:tcW w:w="1560" w:type="dxa"/>
            <w:tcBorders>
              <w:top w:val="nil"/>
              <w:left w:val="nil"/>
              <w:bottom w:val="nil"/>
              <w:right w:val="nil"/>
            </w:tcBorders>
            <w:shd w:val="clear" w:color="auto" w:fill="auto"/>
            <w:noWrap/>
            <w:vAlign w:val="center"/>
            <w:hideMark/>
          </w:tcPr>
          <w:p w14:paraId="3D250FD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-5.964</w:t>
            </w:r>
          </w:p>
        </w:tc>
        <w:tc>
          <w:tcPr>
            <w:tcW w:w="1560" w:type="dxa"/>
            <w:tcBorders>
              <w:top w:val="nil"/>
              <w:left w:val="nil"/>
              <w:bottom w:val="nil"/>
              <w:right w:val="nil"/>
            </w:tcBorders>
            <w:shd w:val="clear" w:color="auto" w:fill="auto"/>
            <w:noWrap/>
            <w:vAlign w:val="center"/>
            <w:hideMark/>
          </w:tcPr>
          <w:p w14:paraId="51DE203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-5.574</w:t>
            </w:r>
          </w:p>
        </w:tc>
        <w:tc>
          <w:tcPr>
            <w:tcW w:w="1560" w:type="dxa"/>
            <w:tcBorders>
              <w:top w:val="nil"/>
              <w:left w:val="nil"/>
              <w:bottom w:val="nil"/>
              <w:right w:val="nil"/>
            </w:tcBorders>
            <w:shd w:val="clear" w:color="auto" w:fill="auto"/>
            <w:noWrap/>
            <w:vAlign w:val="center"/>
            <w:hideMark/>
          </w:tcPr>
          <w:p w14:paraId="5185FD9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-5.994</w:t>
            </w:r>
          </w:p>
        </w:tc>
      </w:tr>
      <w:tr w:rsidR="00DE3873" w:rsidRPr="00F2448C" w14:paraId="2F025BE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C7D0876"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03BA5AD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(-1.49)</w:t>
            </w:r>
          </w:p>
        </w:tc>
        <w:tc>
          <w:tcPr>
            <w:tcW w:w="1560" w:type="dxa"/>
            <w:tcBorders>
              <w:top w:val="nil"/>
              <w:left w:val="nil"/>
              <w:bottom w:val="nil"/>
              <w:right w:val="nil"/>
            </w:tcBorders>
            <w:shd w:val="clear" w:color="auto" w:fill="auto"/>
            <w:noWrap/>
            <w:vAlign w:val="center"/>
            <w:hideMark/>
          </w:tcPr>
          <w:p w14:paraId="1F3B473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(-1.56)</w:t>
            </w:r>
          </w:p>
        </w:tc>
        <w:tc>
          <w:tcPr>
            <w:tcW w:w="1560" w:type="dxa"/>
            <w:tcBorders>
              <w:top w:val="nil"/>
              <w:left w:val="nil"/>
              <w:bottom w:val="nil"/>
              <w:right w:val="nil"/>
            </w:tcBorders>
            <w:shd w:val="clear" w:color="auto" w:fill="auto"/>
            <w:noWrap/>
            <w:vAlign w:val="center"/>
            <w:hideMark/>
          </w:tcPr>
          <w:p w14:paraId="4026E3E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(-1.89)*</w:t>
            </w:r>
          </w:p>
        </w:tc>
      </w:tr>
      <w:tr w:rsidR="00DE3873" w:rsidRPr="00F2448C" w14:paraId="655B414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88D7DB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LEV</w:t>
            </w:r>
          </w:p>
        </w:tc>
        <w:tc>
          <w:tcPr>
            <w:tcW w:w="1560" w:type="dxa"/>
            <w:tcBorders>
              <w:top w:val="nil"/>
              <w:left w:val="nil"/>
              <w:bottom w:val="nil"/>
              <w:right w:val="nil"/>
            </w:tcBorders>
            <w:shd w:val="clear" w:color="auto" w:fill="auto"/>
            <w:noWrap/>
            <w:vAlign w:val="center"/>
            <w:hideMark/>
          </w:tcPr>
          <w:p w14:paraId="371CE7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-438.84</w:t>
            </w:r>
          </w:p>
        </w:tc>
        <w:tc>
          <w:tcPr>
            <w:tcW w:w="1560" w:type="dxa"/>
            <w:tcBorders>
              <w:top w:val="nil"/>
              <w:left w:val="nil"/>
              <w:bottom w:val="nil"/>
              <w:right w:val="nil"/>
            </w:tcBorders>
            <w:shd w:val="clear" w:color="auto" w:fill="auto"/>
            <w:noWrap/>
            <w:vAlign w:val="center"/>
            <w:hideMark/>
          </w:tcPr>
          <w:p w14:paraId="6AF8ECD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-452.11</w:t>
            </w:r>
          </w:p>
        </w:tc>
        <w:tc>
          <w:tcPr>
            <w:tcW w:w="1560" w:type="dxa"/>
            <w:tcBorders>
              <w:top w:val="nil"/>
              <w:left w:val="nil"/>
              <w:bottom w:val="nil"/>
              <w:right w:val="nil"/>
            </w:tcBorders>
            <w:shd w:val="clear" w:color="auto" w:fill="auto"/>
            <w:noWrap/>
            <w:vAlign w:val="center"/>
            <w:hideMark/>
          </w:tcPr>
          <w:p w14:paraId="6AA209B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-456.53</w:t>
            </w:r>
          </w:p>
        </w:tc>
      </w:tr>
      <w:tr w:rsidR="00DE3873" w:rsidRPr="00F2448C" w14:paraId="74C73A1D"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8E49A3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4FDCE4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(-1.70)*</w:t>
            </w:r>
          </w:p>
        </w:tc>
        <w:tc>
          <w:tcPr>
            <w:tcW w:w="1560" w:type="dxa"/>
            <w:tcBorders>
              <w:top w:val="nil"/>
              <w:left w:val="nil"/>
              <w:bottom w:val="nil"/>
              <w:right w:val="nil"/>
            </w:tcBorders>
            <w:shd w:val="clear" w:color="auto" w:fill="auto"/>
            <w:noWrap/>
            <w:vAlign w:val="center"/>
            <w:hideMark/>
          </w:tcPr>
          <w:p w14:paraId="47DF7B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(-1.84)*</w:t>
            </w:r>
          </w:p>
        </w:tc>
        <w:tc>
          <w:tcPr>
            <w:tcW w:w="1560" w:type="dxa"/>
            <w:tcBorders>
              <w:top w:val="nil"/>
              <w:left w:val="nil"/>
              <w:bottom w:val="nil"/>
              <w:right w:val="nil"/>
            </w:tcBorders>
            <w:shd w:val="clear" w:color="auto" w:fill="auto"/>
            <w:noWrap/>
            <w:vAlign w:val="center"/>
            <w:hideMark/>
          </w:tcPr>
          <w:p w14:paraId="63A2BA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(-1.64)*</w:t>
            </w:r>
          </w:p>
        </w:tc>
      </w:tr>
      <w:tr w:rsidR="00DE3873" w:rsidRPr="00F2448C" w14:paraId="2A6380A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A0D64B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CR</w:t>
            </w:r>
          </w:p>
        </w:tc>
        <w:tc>
          <w:tcPr>
            <w:tcW w:w="1560" w:type="dxa"/>
            <w:tcBorders>
              <w:top w:val="nil"/>
              <w:left w:val="nil"/>
              <w:bottom w:val="nil"/>
              <w:right w:val="nil"/>
            </w:tcBorders>
            <w:shd w:val="clear" w:color="auto" w:fill="auto"/>
            <w:noWrap/>
            <w:vAlign w:val="center"/>
            <w:hideMark/>
          </w:tcPr>
          <w:p w14:paraId="0EDEB0C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2.543</w:t>
            </w:r>
          </w:p>
        </w:tc>
        <w:tc>
          <w:tcPr>
            <w:tcW w:w="1560" w:type="dxa"/>
            <w:tcBorders>
              <w:top w:val="nil"/>
              <w:left w:val="nil"/>
              <w:bottom w:val="nil"/>
              <w:right w:val="nil"/>
            </w:tcBorders>
            <w:shd w:val="clear" w:color="auto" w:fill="auto"/>
            <w:noWrap/>
            <w:vAlign w:val="center"/>
            <w:hideMark/>
          </w:tcPr>
          <w:p w14:paraId="102FAC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3.043</w:t>
            </w:r>
          </w:p>
        </w:tc>
        <w:tc>
          <w:tcPr>
            <w:tcW w:w="1560" w:type="dxa"/>
            <w:tcBorders>
              <w:top w:val="nil"/>
              <w:left w:val="nil"/>
              <w:bottom w:val="nil"/>
              <w:right w:val="nil"/>
            </w:tcBorders>
            <w:shd w:val="clear" w:color="auto" w:fill="auto"/>
            <w:noWrap/>
            <w:vAlign w:val="center"/>
            <w:hideMark/>
          </w:tcPr>
          <w:p w14:paraId="100852F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3.392</w:t>
            </w:r>
          </w:p>
        </w:tc>
      </w:tr>
      <w:tr w:rsidR="00DE3873" w:rsidRPr="00F2448C" w14:paraId="7A9A8A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64C80D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FF73B4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4AA8F83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(1.16)</w:t>
            </w:r>
          </w:p>
        </w:tc>
        <w:tc>
          <w:tcPr>
            <w:tcW w:w="1560" w:type="dxa"/>
            <w:tcBorders>
              <w:top w:val="nil"/>
              <w:left w:val="nil"/>
              <w:bottom w:val="nil"/>
              <w:right w:val="nil"/>
            </w:tcBorders>
            <w:shd w:val="clear" w:color="auto" w:fill="auto"/>
            <w:noWrap/>
            <w:vAlign w:val="center"/>
            <w:hideMark/>
          </w:tcPr>
          <w:p w14:paraId="4F473A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398A39E4"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C3DF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DP</w:t>
            </w:r>
          </w:p>
        </w:tc>
        <w:tc>
          <w:tcPr>
            <w:tcW w:w="1560" w:type="dxa"/>
            <w:tcBorders>
              <w:top w:val="nil"/>
              <w:left w:val="nil"/>
              <w:bottom w:val="nil"/>
              <w:right w:val="nil"/>
            </w:tcBorders>
            <w:shd w:val="clear" w:color="auto" w:fill="auto"/>
            <w:noWrap/>
            <w:vAlign w:val="center"/>
            <w:hideMark/>
          </w:tcPr>
          <w:p w14:paraId="1657B7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-0.142</w:t>
            </w:r>
          </w:p>
        </w:tc>
        <w:tc>
          <w:tcPr>
            <w:tcW w:w="1560" w:type="dxa"/>
            <w:tcBorders>
              <w:top w:val="nil"/>
              <w:left w:val="nil"/>
              <w:bottom w:val="nil"/>
              <w:right w:val="nil"/>
            </w:tcBorders>
            <w:shd w:val="clear" w:color="auto" w:fill="auto"/>
            <w:noWrap/>
            <w:vAlign w:val="center"/>
            <w:hideMark/>
          </w:tcPr>
          <w:p w14:paraId="3E2A2D6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-0.025</w:t>
            </w:r>
          </w:p>
        </w:tc>
        <w:tc>
          <w:tcPr>
            <w:tcW w:w="1560" w:type="dxa"/>
            <w:tcBorders>
              <w:top w:val="nil"/>
              <w:left w:val="nil"/>
              <w:bottom w:val="nil"/>
              <w:right w:val="nil"/>
            </w:tcBorders>
            <w:shd w:val="clear" w:color="auto" w:fill="auto"/>
            <w:noWrap/>
            <w:vAlign w:val="center"/>
            <w:hideMark/>
          </w:tcPr>
          <w:p w14:paraId="731CF9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0.071</w:t>
            </w:r>
          </w:p>
        </w:tc>
      </w:tr>
      <w:tr w:rsidR="00DE3873" w:rsidRPr="00F2448C" w14:paraId="519BB38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06DBAA1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w:t>
            </w:r>
          </w:p>
        </w:tc>
        <w:tc>
          <w:tcPr>
            <w:tcW w:w="1560" w:type="dxa"/>
            <w:tcBorders>
              <w:top w:val="nil"/>
              <w:left w:val="nil"/>
              <w:bottom w:val="single" w:sz="4" w:space="0" w:color="auto"/>
              <w:right w:val="nil"/>
            </w:tcBorders>
            <w:shd w:val="clear" w:color="auto" w:fill="auto"/>
            <w:noWrap/>
            <w:vAlign w:val="center"/>
            <w:hideMark/>
          </w:tcPr>
          <w:p w14:paraId="3418C1B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(-0.23)</w:t>
            </w:r>
          </w:p>
        </w:tc>
        <w:tc>
          <w:tcPr>
            <w:tcW w:w="1560" w:type="dxa"/>
            <w:tcBorders>
              <w:top w:val="nil"/>
              <w:left w:val="nil"/>
              <w:bottom w:val="single" w:sz="4" w:space="0" w:color="auto"/>
              <w:right w:val="nil"/>
            </w:tcBorders>
            <w:shd w:val="clear" w:color="auto" w:fill="auto"/>
            <w:noWrap/>
            <w:vAlign w:val="center"/>
            <w:hideMark/>
          </w:tcPr>
          <w:p w14:paraId="34CB89E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(-0.04)</w:t>
            </w:r>
          </w:p>
        </w:tc>
        <w:tc>
          <w:tcPr>
            <w:tcW w:w="1560" w:type="dxa"/>
            <w:tcBorders>
              <w:top w:val="nil"/>
              <w:left w:val="nil"/>
              <w:bottom w:val="single" w:sz="4" w:space="0" w:color="auto"/>
              <w:right w:val="nil"/>
            </w:tcBorders>
            <w:shd w:val="clear" w:color="auto" w:fill="auto"/>
            <w:noWrap/>
            <w:vAlign w:val="center"/>
            <w:hideMark/>
          </w:tcPr>
          <w:p w14:paraId="7F7549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w:t>
            </w:r>
          </w:p>
        </w:tc>
      </w:tr>
      <w:tr w:rsidR="00DE3873" w:rsidRPr="00F2448C" w14:paraId="2F4939A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D440FD9" w14:textId="40823493"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xml:space="preserve">Wald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 xml:space="preserve"> test</w:t>
            </w:r>
          </w:p>
        </w:tc>
        <w:tc>
          <w:tcPr>
            <w:tcW w:w="1560" w:type="dxa"/>
            <w:tcBorders>
              <w:top w:val="nil"/>
              <w:left w:val="nil"/>
              <w:bottom w:val="nil"/>
              <w:right w:val="nil"/>
            </w:tcBorders>
            <w:shd w:val="clear" w:color="auto" w:fill="auto"/>
            <w:noWrap/>
            <w:vAlign w:val="center"/>
            <w:hideMark/>
          </w:tcPr>
          <w:p w14:paraId="1720D9B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42.86***</w:t>
            </w:r>
          </w:p>
        </w:tc>
        <w:tc>
          <w:tcPr>
            <w:tcW w:w="1560" w:type="dxa"/>
            <w:tcBorders>
              <w:top w:val="nil"/>
              <w:left w:val="nil"/>
              <w:bottom w:val="nil"/>
              <w:right w:val="nil"/>
            </w:tcBorders>
            <w:shd w:val="clear" w:color="auto" w:fill="auto"/>
            <w:noWrap/>
            <w:vAlign w:val="center"/>
            <w:hideMark/>
          </w:tcPr>
          <w:p w14:paraId="624C175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43.20***</w:t>
            </w:r>
          </w:p>
        </w:tc>
        <w:tc>
          <w:tcPr>
            <w:tcW w:w="1560" w:type="dxa"/>
            <w:tcBorders>
              <w:top w:val="nil"/>
              <w:left w:val="nil"/>
              <w:bottom w:val="nil"/>
              <w:right w:val="nil"/>
            </w:tcBorders>
            <w:shd w:val="clear" w:color="auto" w:fill="auto"/>
            <w:noWrap/>
            <w:vAlign w:val="center"/>
            <w:hideMark/>
          </w:tcPr>
          <w:p w14:paraId="1C276B3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43.86***</w:t>
            </w:r>
          </w:p>
        </w:tc>
      </w:tr>
      <w:tr w:rsidR="00DE3873" w:rsidRPr="00F2448C" w14:paraId="1237CDF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735B49B"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AR(1)-p value</w:t>
            </w:r>
          </w:p>
        </w:tc>
        <w:tc>
          <w:tcPr>
            <w:tcW w:w="1560" w:type="dxa"/>
            <w:tcBorders>
              <w:top w:val="nil"/>
              <w:left w:val="nil"/>
              <w:bottom w:val="nil"/>
              <w:right w:val="nil"/>
            </w:tcBorders>
            <w:shd w:val="clear" w:color="auto" w:fill="auto"/>
            <w:noWrap/>
            <w:vAlign w:val="center"/>
            <w:hideMark/>
          </w:tcPr>
          <w:p w14:paraId="525E58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0.000</w:t>
            </w:r>
          </w:p>
        </w:tc>
        <w:tc>
          <w:tcPr>
            <w:tcW w:w="1560" w:type="dxa"/>
            <w:tcBorders>
              <w:top w:val="nil"/>
              <w:left w:val="nil"/>
              <w:bottom w:val="nil"/>
              <w:right w:val="nil"/>
            </w:tcBorders>
            <w:shd w:val="clear" w:color="auto" w:fill="auto"/>
            <w:noWrap/>
            <w:vAlign w:val="center"/>
            <w:hideMark/>
          </w:tcPr>
          <w:p w14:paraId="086B92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0.001</w:t>
            </w:r>
          </w:p>
        </w:tc>
        <w:tc>
          <w:tcPr>
            <w:tcW w:w="1560" w:type="dxa"/>
            <w:tcBorders>
              <w:top w:val="nil"/>
              <w:left w:val="nil"/>
              <w:bottom w:val="nil"/>
              <w:right w:val="nil"/>
            </w:tcBorders>
            <w:shd w:val="clear" w:color="auto" w:fill="auto"/>
            <w:noWrap/>
            <w:vAlign w:val="center"/>
            <w:hideMark/>
          </w:tcPr>
          <w:p w14:paraId="21E2BB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0.005</w:t>
            </w:r>
          </w:p>
        </w:tc>
      </w:tr>
      <w:tr w:rsidR="00DE3873" w:rsidRPr="00F2448C" w14:paraId="48E676B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1E54C8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AR(2)-p value</w:t>
            </w:r>
          </w:p>
        </w:tc>
        <w:tc>
          <w:tcPr>
            <w:tcW w:w="1560" w:type="dxa"/>
            <w:tcBorders>
              <w:top w:val="nil"/>
              <w:left w:val="nil"/>
              <w:bottom w:val="nil"/>
              <w:right w:val="nil"/>
            </w:tcBorders>
            <w:shd w:val="clear" w:color="auto" w:fill="auto"/>
            <w:noWrap/>
            <w:vAlign w:val="center"/>
            <w:hideMark/>
          </w:tcPr>
          <w:p w14:paraId="54B5C20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0.328</w:t>
            </w:r>
          </w:p>
        </w:tc>
        <w:tc>
          <w:tcPr>
            <w:tcW w:w="1560" w:type="dxa"/>
            <w:tcBorders>
              <w:top w:val="nil"/>
              <w:left w:val="nil"/>
              <w:bottom w:val="nil"/>
              <w:right w:val="nil"/>
            </w:tcBorders>
            <w:shd w:val="clear" w:color="auto" w:fill="auto"/>
            <w:noWrap/>
            <w:vAlign w:val="center"/>
            <w:hideMark/>
          </w:tcPr>
          <w:p w14:paraId="5BE1E22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0.335</w:t>
            </w:r>
          </w:p>
        </w:tc>
        <w:tc>
          <w:tcPr>
            <w:tcW w:w="1560" w:type="dxa"/>
            <w:tcBorders>
              <w:top w:val="nil"/>
              <w:left w:val="nil"/>
              <w:bottom w:val="nil"/>
              <w:right w:val="nil"/>
            </w:tcBorders>
            <w:shd w:val="clear" w:color="auto" w:fill="auto"/>
            <w:noWrap/>
            <w:vAlign w:val="center"/>
            <w:hideMark/>
          </w:tcPr>
          <w:p w14:paraId="03AE1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0.324</w:t>
            </w:r>
          </w:p>
        </w:tc>
      </w:tr>
      <w:tr w:rsidR="00DE3873" w:rsidRPr="00F2448C" w14:paraId="431BB1A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C664924" w14:textId="5E27BE59" w:rsidR="00DE3873" w:rsidRPr="00F2448C" w:rsidRDefault="00DE3873" w:rsidP="0008434D">
            <w:pPr>
              <w:spacing w:after="0" w:line="240" w:lineRule="auto"/>
              <w:rPr>
                <w:rFonts w:ascii="Times New Roman" w:eastAsia="Times New Roman" w:hAnsi="Times New Roman" w:cs="Times New Roman"/>
                <w:color w:val="000000"/>
                <w:lang w:val="en-GB"/>
              </w:rPr>
            </w:pPr>
            <w:proofErr w:type="spellStart"/>
            <w:r w:rsidRPr="00F2448C">
              <w:rPr>
                <w:rFonts w:ascii="Times New Roman" w:eastAsia="Times New Roman" w:hAnsi="Times New Roman" w:cs="Times New Roman"/>
                <w:color w:val="000000"/>
                <w:lang w:val="en-GB"/>
              </w:rPr>
              <w:t>Sargan</w:t>
            </w:r>
            <w:proofErr w:type="spellEnd"/>
            <w:r w:rsidRPr="00F2448C">
              <w:rPr>
                <w:rFonts w:ascii="Times New Roman" w:eastAsia="Times New Roman" w:hAnsi="Times New Roman" w:cs="Times New Roman"/>
                <w:color w:val="000000"/>
                <w:lang w:val="en-GB"/>
              </w:rPr>
              <w:t xml:space="preserve"> test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value)</w:t>
            </w:r>
          </w:p>
        </w:tc>
        <w:tc>
          <w:tcPr>
            <w:tcW w:w="1560" w:type="dxa"/>
            <w:tcBorders>
              <w:top w:val="nil"/>
              <w:left w:val="nil"/>
              <w:bottom w:val="nil"/>
              <w:right w:val="nil"/>
            </w:tcBorders>
            <w:shd w:val="clear" w:color="auto" w:fill="auto"/>
            <w:noWrap/>
            <w:vAlign w:val="center"/>
            <w:hideMark/>
          </w:tcPr>
          <w:p w14:paraId="0B10B6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22.651</w:t>
            </w:r>
          </w:p>
        </w:tc>
        <w:tc>
          <w:tcPr>
            <w:tcW w:w="1560" w:type="dxa"/>
            <w:tcBorders>
              <w:top w:val="nil"/>
              <w:left w:val="nil"/>
              <w:bottom w:val="nil"/>
              <w:right w:val="nil"/>
            </w:tcBorders>
            <w:shd w:val="clear" w:color="auto" w:fill="auto"/>
            <w:noWrap/>
            <w:vAlign w:val="center"/>
            <w:hideMark/>
          </w:tcPr>
          <w:p w14:paraId="1B2517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23.149</w:t>
            </w:r>
          </w:p>
        </w:tc>
        <w:tc>
          <w:tcPr>
            <w:tcW w:w="1560" w:type="dxa"/>
            <w:tcBorders>
              <w:top w:val="nil"/>
              <w:left w:val="nil"/>
              <w:bottom w:val="nil"/>
              <w:right w:val="nil"/>
            </w:tcBorders>
            <w:shd w:val="clear" w:color="auto" w:fill="auto"/>
            <w:noWrap/>
            <w:vAlign w:val="center"/>
            <w:hideMark/>
          </w:tcPr>
          <w:p w14:paraId="7915599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26.327</w:t>
            </w:r>
          </w:p>
        </w:tc>
      </w:tr>
      <w:tr w:rsidR="00DE3873" w:rsidRPr="00F2448C" w14:paraId="0618E9D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187C2B5E"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P value</w:t>
            </w:r>
          </w:p>
        </w:tc>
        <w:tc>
          <w:tcPr>
            <w:tcW w:w="1560" w:type="dxa"/>
            <w:tcBorders>
              <w:top w:val="nil"/>
              <w:left w:val="nil"/>
              <w:bottom w:val="single" w:sz="4" w:space="0" w:color="auto"/>
              <w:right w:val="nil"/>
            </w:tcBorders>
            <w:shd w:val="clear" w:color="auto" w:fill="auto"/>
            <w:noWrap/>
            <w:vAlign w:val="center"/>
            <w:hideMark/>
          </w:tcPr>
          <w:p w14:paraId="6E986F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0.141</w:t>
            </w:r>
          </w:p>
        </w:tc>
        <w:tc>
          <w:tcPr>
            <w:tcW w:w="1560" w:type="dxa"/>
            <w:tcBorders>
              <w:top w:val="nil"/>
              <w:left w:val="nil"/>
              <w:bottom w:val="single" w:sz="4" w:space="0" w:color="auto"/>
              <w:right w:val="nil"/>
            </w:tcBorders>
            <w:shd w:val="clear" w:color="auto" w:fill="auto"/>
            <w:noWrap/>
            <w:vAlign w:val="center"/>
            <w:hideMark/>
          </w:tcPr>
          <w:p w14:paraId="6903A78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0.138</w:t>
            </w:r>
          </w:p>
        </w:tc>
        <w:tc>
          <w:tcPr>
            <w:tcW w:w="1560" w:type="dxa"/>
            <w:tcBorders>
              <w:top w:val="nil"/>
              <w:left w:val="nil"/>
              <w:bottom w:val="single" w:sz="4" w:space="0" w:color="auto"/>
              <w:right w:val="nil"/>
            </w:tcBorders>
            <w:shd w:val="clear" w:color="auto" w:fill="auto"/>
            <w:noWrap/>
            <w:vAlign w:val="center"/>
            <w:hideMark/>
          </w:tcPr>
          <w:p w14:paraId="4C3E1E3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0.121</w:t>
            </w:r>
          </w:p>
        </w:tc>
      </w:tr>
    </w:tbl>
    <w:p w14:paraId="04D06F46" w14:textId="77777777" w:rsidR="004457C0" w:rsidRPr="00F2448C"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 represent the dependent and independent variables respectively.</w:t>
      </w: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similar to the earlier findings of </w:t>
      </w:r>
      <w:proofErr w:type="spellStart"/>
      <w:r w:rsidR="003F36C9" w:rsidRPr="00F2448C">
        <w:rPr>
          <w:rFonts w:ascii="Times New Roman" w:eastAsia="Times New Roman" w:hAnsi="Times New Roman" w:cs="Times New Roman"/>
          <w:sz w:val="20"/>
          <w:lang w:val="en-GB" w:eastAsia="en-IN"/>
        </w:rPr>
        <w:t>Cella</w:t>
      </w:r>
      <w:proofErr w:type="spellEnd"/>
      <w:r w:rsidR="003F36C9" w:rsidRPr="00F2448C">
        <w:rPr>
          <w:rFonts w:ascii="Times New Roman" w:eastAsia="Times New Roman" w:hAnsi="Times New Roman" w:cs="Times New Roman"/>
          <w:sz w:val="20"/>
          <w:lang w:val="en-GB" w:eastAsia="en-IN"/>
        </w:rPr>
        <w:t xml:space="preserve">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 xml:space="preserve">a time-dependent effect. Overall, this study suggests that firm profitability improves </w:t>
      </w:r>
      <w:r w:rsidR="00361F32" w:rsidRPr="00F2448C">
        <w:rPr>
          <w:rFonts w:ascii="Times New Roman" w:eastAsia="Times New Roman" w:hAnsi="Times New Roman" w:cs="Times New Roman"/>
          <w:iCs/>
          <w:color w:val="000000" w:themeColor="text1"/>
          <w:sz w:val="20"/>
          <w:szCs w:val="24"/>
          <w:lang w:val="en-GB"/>
        </w:rPr>
        <w:lastRenderedPageBreak/>
        <w:t>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 xml:space="preserve">J. Real Estate </w:t>
      </w:r>
      <w:proofErr w:type="spellStart"/>
      <w:r w:rsidR="00F1766D" w:rsidRPr="00F2448C">
        <w:rPr>
          <w:rFonts w:ascii="Times New Roman" w:hAnsi="Times New Roman" w:cs="Times New Roman"/>
          <w:iCs/>
          <w:sz w:val="20"/>
          <w:lang w:val="en-GB"/>
        </w:rPr>
        <w:t>Portf</w:t>
      </w:r>
      <w:proofErr w:type="spellEnd"/>
      <w:r w:rsidR="00F1766D" w:rsidRPr="00F2448C">
        <w:rPr>
          <w:rFonts w:ascii="Times New Roman" w:hAnsi="Times New Roman" w:cs="Times New Roman"/>
          <w:iCs/>
          <w:sz w:val="20"/>
          <w:lang w:val="en-GB"/>
        </w:rPr>
        <w:t xml:space="preserve">. </w:t>
      </w:r>
      <w:proofErr w:type="spellStart"/>
      <w:r w:rsidR="00F1766D" w:rsidRPr="00F2448C">
        <w:rPr>
          <w:rFonts w:ascii="Times New Roman" w:hAnsi="Times New Roman" w:cs="Times New Roman"/>
          <w:iCs/>
          <w:sz w:val="20"/>
          <w:lang w:val="en-GB"/>
        </w:rPr>
        <w:t>Manag</w:t>
      </w:r>
      <w:proofErr w:type="spellEnd"/>
      <w:r w:rsidR="00F1766D" w:rsidRPr="00F2448C">
        <w:rPr>
          <w:rFonts w:ascii="Times New Roman" w:hAnsi="Times New Roman" w:cs="Times New Roman"/>
          <w:iCs/>
          <w:sz w:val="20"/>
          <w:lang w:val="en-GB"/>
        </w:rPr>
        <w:t>.</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Cella</w:t>
      </w:r>
      <w:proofErr w:type="spellEnd"/>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proofErr w:type="spellStart"/>
      <w:r w:rsidR="009509A3" w:rsidRPr="00F2448C">
        <w:rPr>
          <w:rFonts w:ascii="Times New Roman" w:hAnsi="Times New Roman" w:cs="Times New Roman"/>
          <w:sz w:val="20"/>
          <w:lang w:val="en-GB"/>
        </w:rPr>
        <w:t>Empir</w:t>
      </w:r>
      <w:proofErr w:type="spellEnd"/>
      <w:r w:rsidR="009509A3" w:rsidRPr="00F2448C">
        <w:rPr>
          <w:rFonts w:ascii="Times New Roman" w:hAnsi="Times New Roman" w:cs="Times New Roman"/>
          <w:sz w:val="20"/>
          <w:lang w:val="en-GB"/>
        </w:rPr>
        <w:t>.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L. and </w:t>
      </w:r>
      <w:proofErr w:type="spellStart"/>
      <w:r w:rsidRPr="00F2448C">
        <w:rPr>
          <w:rFonts w:ascii="Times New Roman" w:hAnsi="Times New Roman" w:cs="Times New Roman"/>
          <w:sz w:val="20"/>
          <w:lang w:val="en-GB"/>
        </w:rPr>
        <w:t>Wójcik</w:t>
      </w:r>
      <w:proofErr w:type="spellEnd"/>
      <w:r w:rsidRPr="00F2448C">
        <w:rPr>
          <w:rFonts w:ascii="Times New Roman" w:hAnsi="Times New Roman" w:cs="Times New Roman"/>
          <w:sz w:val="20"/>
          <w:lang w:val="en-GB"/>
        </w:rPr>
        <w:t>,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w:t>
      </w:r>
      <w:proofErr w:type="spellStart"/>
      <w:r w:rsidR="00813B14" w:rsidRPr="00F2448C">
        <w:rPr>
          <w:rFonts w:ascii="Times New Roman" w:hAnsi="Times New Roman" w:cs="Times New Roman"/>
          <w:iCs/>
          <w:sz w:val="20"/>
          <w:lang w:val="en-GB"/>
        </w:rPr>
        <w:t>Geogr</w:t>
      </w:r>
      <w:proofErr w:type="spellEnd"/>
      <w:r w:rsidR="00813B14" w:rsidRPr="00F2448C">
        <w:rPr>
          <w:rFonts w:ascii="Times New Roman" w:hAnsi="Times New Roman" w:cs="Times New Roman"/>
          <w:iCs/>
          <w:sz w:val="20"/>
          <w:lang w:val="en-GB"/>
        </w:rPr>
        <w:t xml:space="preserve">.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Dasgupta</w:t>
      </w:r>
      <w:proofErr w:type="spellEnd"/>
      <w:r w:rsidRPr="00F2448C">
        <w:rPr>
          <w:rFonts w:ascii="Times New Roman" w:hAnsi="Times New Roman" w:cs="Times New Roman"/>
          <w:sz w:val="20"/>
          <w:lang w:val="en-GB"/>
        </w:rPr>
        <w:t xml:space="preserve">, A., Prat, A. and </w:t>
      </w:r>
      <w:proofErr w:type="spellStart"/>
      <w:r w:rsidRPr="00F2448C">
        <w:rPr>
          <w:rFonts w:ascii="Times New Roman" w:hAnsi="Times New Roman" w:cs="Times New Roman"/>
          <w:sz w:val="20"/>
          <w:lang w:val="en-GB"/>
        </w:rPr>
        <w:t>Verardo</w:t>
      </w:r>
      <w:proofErr w:type="spellEnd"/>
      <w:r w:rsidRPr="00F2448C">
        <w:rPr>
          <w:rFonts w:ascii="Times New Roman" w:hAnsi="Times New Roman" w:cs="Times New Roman"/>
          <w:sz w:val="20"/>
          <w:lang w:val="en-GB"/>
        </w:rPr>
        <w:t>,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Demsetz</w:t>
      </w:r>
      <w:proofErr w:type="spellEnd"/>
      <w:r w:rsidRPr="00F2448C">
        <w:rPr>
          <w:rFonts w:ascii="Times New Roman" w:hAnsi="Times New Roman" w:cs="Times New Roman"/>
          <w:sz w:val="20"/>
          <w:lang w:val="en-GB"/>
        </w:rPr>
        <w:t>,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structure of corporate ownership: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Dyakov</w:t>
      </w:r>
      <w:proofErr w:type="spellEnd"/>
      <w:r w:rsidRPr="00F2448C">
        <w:rPr>
          <w:rFonts w:ascii="Times New Roman" w:hAnsi="Times New Roman" w:cs="Times New Roman"/>
          <w:sz w:val="20"/>
          <w:lang w:val="en-GB"/>
        </w:rPr>
        <w:t xml:space="preserve">, T. and </w:t>
      </w:r>
      <w:proofErr w:type="spellStart"/>
      <w:r w:rsidRPr="00F2448C">
        <w:rPr>
          <w:rFonts w:ascii="Times New Roman" w:hAnsi="Times New Roman" w:cs="Times New Roman"/>
          <w:sz w:val="20"/>
          <w:lang w:val="en-GB"/>
        </w:rPr>
        <w:t>Wipplinger</w:t>
      </w:r>
      <w:proofErr w:type="spellEnd"/>
      <w:r w:rsidRPr="00F2448C">
        <w:rPr>
          <w:rFonts w:ascii="Times New Roman" w:hAnsi="Times New Roman" w:cs="Times New Roman"/>
          <w:sz w:val="20"/>
          <w:lang w:val="en-GB"/>
        </w:rPr>
        <w:t>,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A. and </w:t>
      </w:r>
      <w:proofErr w:type="spellStart"/>
      <w:r w:rsidRPr="00F2448C">
        <w:rPr>
          <w:rFonts w:ascii="Times New Roman" w:hAnsi="Times New Roman" w:cs="Times New Roman"/>
          <w:sz w:val="20"/>
          <w:lang w:val="en-GB"/>
        </w:rPr>
        <w:t>Metrick</w:t>
      </w:r>
      <w:proofErr w:type="spellEnd"/>
      <w:r w:rsidRPr="00F2448C">
        <w:rPr>
          <w:rFonts w:ascii="Times New Roman" w:hAnsi="Times New Roman" w:cs="Times New Roman"/>
          <w:sz w:val="20"/>
          <w:lang w:val="en-GB"/>
        </w:rPr>
        <w:t>,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 xml:space="preserve">Rev. </w:t>
      </w:r>
      <w:proofErr w:type="spellStart"/>
      <w:r w:rsidR="009E5E6C" w:rsidRPr="00F2448C">
        <w:rPr>
          <w:rFonts w:ascii="Times New Roman" w:hAnsi="Times New Roman" w:cs="Times New Roman"/>
          <w:iCs/>
          <w:sz w:val="20"/>
          <w:lang w:val="en-GB"/>
        </w:rPr>
        <w:t>Financ</w:t>
      </w:r>
      <w:proofErr w:type="spellEnd"/>
      <w:r w:rsidR="009E5E6C" w:rsidRPr="00F2448C">
        <w:rPr>
          <w:rFonts w:ascii="Times New Roman" w:hAnsi="Times New Roman" w:cs="Times New Roman"/>
          <w:iCs/>
          <w:sz w:val="20"/>
          <w:lang w:val="en-GB"/>
        </w:rPr>
        <w:t>.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La Porta, R., Lopez‐de‐</w:t>
      </w:r>
      <w:proofErr w:type="spellStart"/>
      <w:r w:rsidRPr="00F2448C">
        <w:rPr>
          <w:rFonts w:ascii="Times New Roman" w:hAnsi="Times New Roman" w:cs="Times New Roman"/>
          <w:sz w:val="20"/>
          <w:lang w:val="en-GB"/>
        </w:rPr>
        <w:t>Silanes</w:t>
      </w:r>
      <w:proofErr w:type="spellEnd"/>
      <w:r w:rsidRPr="00F2448C">
        <w:rPr>
          <w:rFonts w:ascii="Times New Roman" w:hAnsi="Times New Roman" w:cs="Times New Roman"/>
          <w:sz w:val="20"/>
          <w:lang w:val="en-GB"/>
        </w:rPr>
        <w:t>, F., and Shleifer, A. (1999). 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Manawaduge</w:t>
      </w:r>
      <w:proofErr w:type="spellEnd"/>
      <w:r w:rsidRPr="00F2448C">
        <w:rPr>
          <w:rFonts w:ascii="Times New Roman" w:hAnsi="Times New Roman" w:cs="Times New Roman"/>
          <w:sz w:val="20"/>
          <w:lang w:val="en-GB"/>
        </w:rPr>
        <w:t>,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S., </w:t>
      </w:r>
      <w:proofErr w:type="spellStart"/>
      <w:r w:rsidRPr="00F2448C">
        <w:rPr>
          <w:rFonts w:ascii="Times New Roman" w:hAnsi="Times New Roman" w:cs="Times New Roman"/>
          <w:sz w:val="20"/>
          <w:lang w:val="en-GB"/>
        </w:rPr>
        <w:t>Zoysa</w:t>
      </w:r>
      <w:proofErr w:type="spellEnd"/>
      <w:r w:rsidRPr="00F2448C">
        <w:rPr>
          <w:rFonts w:ascii="Times New Roman" w:hAnsi="Times New Roman" w:cs="Times New Roman"/>
          <w:sz w:val="20"/>
          <w:lang w:val="en-GB"/>
        </w:rPr>
        <w:t xml:space="preserve">, A., and </w:t>
      </w:r>
      <w:proofErr w:type="spellStart"/>
      <w:r w:rsidRPr="00F2448C">
        <w:rPr>
          <w:rFonts w:ascii="Times New Roman" w:hAnsi="Times New Roman" w:cs="Times New Roman"/>
          <w:sz w:val="20"/>
          <w:lang w:val="en-GB"/>
        </w:rPr>
        <w:t>Rudkin</w:t>
      </w:r>
      <w:proofErr w:type="spellEnd"/>
      <w:r w:rsidRPr="00F2448C">
        <w:rPr>
          <w:rFonts w:ascii="Times New Roman" w:hAnsi="Times New Roman" w:cs="Times New Roman"/>
          <w:sz w:val="20"/>
          <w:lang w:val="en-GB"/>
        </w:rPr>
        <w:t>,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McNulty, T. and Nordberg, D. (2016). Ownership, activism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S. and </w:t>
      </w:r>
      <w:proofErr w:type="spellStart"/>
      <w:r w:rsidRPr="00F2448C">
        <w:rPr>
          <w:rFonts w:ascii="Times New Roman" w:hAnsi="Times New Roman" w:cs="Times New Roman"/>
          <w:sz w:val="20"/>
          <w:lang w:val="en-GB"/>
        </w:rPr>
        <w:t>Hamzah</w:t>
      </w:r>
      <w:proofErr w:type="spellEnd"/>
      <w:r w:rsidRPr="00F2448C">
        <w:rPr>
          <w:rFonts w:ascii="Times New Roman" w:hAnsi="Times New Roman" w:cs="Times New Roman"/>
          <w:sz w:val="20"/>
          <w:lang w:val="en-GB"/>
        </w:rPr>
        <w:t>,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Ovtcharova</w:t>
      </w:r>
      <w:proofErr w:type="spellEnd"/>
      <w:r w:rsidRPr="00F2448C">
        <w:rPr>
          <w:rFonts w:ascii="Times New Roman" w:hAnsi="Times New Roman" w:cs="Times New Roman"/>
          <w:sz w:val="20"/>
          <w:lang w:val="en-GB"/>
        </w:rPr>
        <w:t>,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Shleifer, A.</w:t>
      </w:r>
      <w:r w:rsidR="005B3D5C" w:rsidRPr="00F2448C">
        <w:rPr>
          <w:rFonts w:ascii="Times New Roman" w:hAnsi="Times New Roman" w:cs="Times New Roman"/>
          <w:sz w:val="20"/>
          <w:lang w:val="en-GB"/>
        </w:rPr>
        <w:t xml:space="preserve"> and </w:t>
      </w:r>
      <w:proofErr w:type="spellStart"/>
      <w:r w:rsidRPr="00F2448C">
        <w:rPr>
          <w:rFonts w:ascii="Times New Roman" w:hAnsi="Times New Roman" w:cs="Times New Roman"/>
          <w:sz w:val="20"/>
          <w:lang w:val="en-GB"/>
        </w:rPr>
        <w:t>Vishny</w:t>
      </w:r>
      <w:proofErr w:type="spellEnd"/>
      <w:r w:rsidRPr="00F2448C">
        <w:rPr>
          <w:rFonts w:ascii="Times New Roman" w:hAnsi="Times New Roman" w:cs="Times New Roman"/>
          <w:sz w:val="20"/>
          <w:lang w:val="en-GB"/>
        </w:rPr>
        <w:t>,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4E3721A1" w:rsidR="00B95047" w:rsidRPr="00F2448C" w:rsidRDefault="00B95047" w:rsidP="00F8777D">
      <w:pPr>
        <w:spacing w:after="0" w:line="240" w:lineRule="auto"/>
        <w:jc w:val="both"/>
        <w:rPr>
          <w:rFonts w:ascii="Times New Roman" w:hAnsi="Times New Roman" w:cs="Times New Roman"/>
          <w:iCs/>
          <w:sz w:val="20"/>
          <w:lang w:val="en-GB"/>
        </w:rPr>
      </w:pPr>
      <w:r w:rsidRPr="00F2448C">
        <w:rPr>
          <w:rFonts w:ascii="Times New Roman" w:hAnsi="Times New Roman" w:cs="Times New Roman"/>
          <w:sz w:val="20"/>
          <w:lang w:val="en-GB"/>
        </w:rPr>
        <w:t>Sikorski,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t xml:space="preserve">ed. A. Jonathan Batten, and G </w:t>
      </w:r>
      <w:proofErr w:type="spellStart"/>
      <w:r w:rsidR="00B37E91" w:rsidRPr="00F2448C">
        <w:rPr>
          <w:rFonts w:ascii="Times New Roman" w:hAnsi="Times New Roman" w:cs="Times New Roman"/>
          <w:sz w:val="20"/>
          <w:lang w:val="en-GB"/>
        </w:rPr>
        <w:t>PeterSzilagyi</w:t>
      </w:r>
      <w:proofErr w:type="spellEnd"/>
      <w:r w:rsidR="00B37E91" w:rsidRPr="00F2448C">
        <w:rPr>
          <w:rFonts w:ascii="Times New Roman" w:hAnsi="Times New Roman" w:cs="Times New Roman"/>
          <w:sz w:val="20"/>
          <w:lang w:val="en-GB"/>
        </w:rPr>
        <w:t>,</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proofErr w:type="gramStart"/>
      <w:r w:rsidR="00B37E91" w:rsidRPr="00F2448C">
        <w:rPr>
          <w:rFonts w:ascii="Times New Roman" w:hAnsi="Times New Roman" w:cs="Times New Roman"/>
          <w:iCs/>
          <w:sz w:val="20"/>
          <w:lang w:val="en-GB"/>
        </w:rPr>
        <w:t>:</w:t>
      </w:r>
      <w:proofErr w:type="gramEnd"/>
      <w:hyperlink r:id="rId7" w:history="1">
        <w:r w:rsidR="00B37E91" w:rsidRPr="00F2448C">
          <w:rPr>
            <w:rStyle w:val="Hyperlink"/>
            <w:rFonts w:ascii="Times New Roman" w:hAnsi="Times New Roman" w:cs="Times New Roman"/>
            <w:iCs/>
            <w:color w:val="1A0DAB"/>
            <w:sz w:val="21"/>
            <w:szCs w:val="21"/>
            <w:shd w:val="clear" w:color="auto" w:fill="FFFFFF"/>
          </w:rPr>
          <w:t>Bingley:</w:t>
        </w:r>
      </w:hyperlink>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w:t>
      </w:r>
      <w:proofErr w:type="spellStart"/>
      <w:r w:rsidR="004E36A7" w:rsidRPr="00F2448C">
        <w:rPr>
          <w:rFonts w:ascii="Times New Roman" w:hAnsi="Times New Roman" w:cs="Times New Roman"/>
          <w:sz w:val="20"/>
          <w:lang w:val="en-GB"/>
        </w:rPr>
        <w:t>Emerg</w:t>
      </w:r>
      <w:proofErr w:type="spellEnd"/>
      <w:r w:rsidR="004E36A7" w:rsidRPr="00F2448C">
        <w:rPr>
          <w:rFonts w:ascii="Times New Roman" w:hAnsi="Times New Roman" w:cs="Times New Roman"/>
          <w:sz w:val="20"/>
          <w:lang w:val="en-GB"/>
        </w:rPr>
        <w:t xml:space="preserve">.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1D1D98F0" w14:textId="4BFCB08C" w:rsidR="007F631B" w:rsidRPr="00F2448C" w:rsidRDefault="00B95047" w:rsidP="00A06726">
      <w:pPr>
        <w:autoSpaceDE w:val="0"/>
        <w:autoSpaceDN w:val="0"/>
        <w:adjustRightInd w:val="0"/>
        <w:spacing w:after="0" w:line="240" w:lineRule="auto"/>
        <w:jc w:val="both"/>
        <w:rPr>
          <w:rFonts w:ascii="Times New Roman" w:eastAsia="Times New Roman" w:hAnsi="Times New Roman" w:cs="Times New Roman"/>
          <w:iCs/>
          <w:sz w:val="20"/>
          <w:szCs w:val="24"/>
          <w:lang w:val="en-GB"/>
        </w:rPr>
      </w:pPr>
      <w:r w:rsidRPr="00F2448C">
        <w:rPr>
          <w:rFonts w:ascii="Times New Roman" w:hAnsi="Times New Roman" w:cs="Times New Roman"/>
          <w:sz w:val="20"/>
          <w:lang w:val="en-GB"/>
        </w:rPr>
        <w:t>Zou,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Pr="00F2448C">
        <w:rPr>
          <w:rFonts w:ascii="Times New Roman" w:hAnsi="Times New Roman" w:cs="Times New Roman"/>
          <w:sz w:val="20"/>
          <w:lang w:val="en-GB"/>
        </w:rPr>
        <w:t>1168.</w:t>
      </w:r>
    </w:p>
    <w:sectPr w:rsidR="007F631B" w:rsidRPr="00F2448C" w:rsidSect="003B5647">
      <w:pgSz w:w="10080" w:h="14400" w:code="259"/>
      <w:pgMar w:top="851" w:right="1134" w:bottom="851"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FF2D" w16cex:dateUtc="2022-04-11T13:55:00Z"/>
  <w16cex:commentExtensible w16cex:durableId="25FDDA90" w16cex:dateUtc="2022-04-06T06:29:00Z"/>
  <w16cex:commentExtensible w16cex:durableId="25FDDA91" w16cex:dateUtc="2022-04-06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00B85" w16cid:durableId="25FEFF2D"/>
  <w16cid:commentId w16cid:paraId="66316330" w16cid:durableId="25FDDA90"/>
  <w16cid:commentId w16cid:paraId="0FB70F51" w16cid:durableId="25FDDA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CA"/>
    <w:rsid w:val="00004B28"/>
    <w:rsid w:val="00021013"/>
    <w:rsid w:val="0003130A"/>
    <w:rsid w:val="0003678D"/>
    <w:rsid w:val="00037D7F"/>
    <w:rsid w:val="00045730"/>
    <w:rsid w:val="00050BAD"/>
    <w:rsid w:val="00080467"/>
    <w:rsid w:val="0008434D"/>
    <w:rsid w:val="000C4795"/>
    <w:rsid w:val="000C66E4"/>
    <w:rsid w:val="000D1738"/>
    <w:rsid w:val="000D658D"/>
    <w:rsid w:val="000E5A9B"/>
    <w:rsid w:val="00117CED"/>
    <w:rsid w:val="00133B5B"/>
    <w:rsid w:val="0016749B"/>
    <w:rsid w:val="0018687F"/>
    <w:rsid w:val="0019651C"/>
    <w:rsid w:val="001C6CAB"/>
    <w:rsid w:val="001E65AF"/>
    <w:rsid w:val="001F70A1"/>
    <w:rsid w:val="002002A5"/>
    <w:rsid w:val="00206D8C"/>
    <w:rsid w:val="00214370"/>
    <w:rsid w:val="00220DCB"/>
    <w:rsid w:val="002322C3"/>
    <w:rsid w:val="00267469"/>
    <w:rsid w:val="00270847"/>
    <w:rsid w:val="0028447D"/>
    <w:rsid w:val="00285FB5"/>
    <w:rsid w:val="002A732A"/>
    <w:rsid w:val="002F18E6"/>
    <w:rsid w:val="00324429"/>
    <w:rsid w:val="003339C9"/>
    <w:rsid w:val="003518BE"/>
    <w:rsid w:val="00361F32"/>
    <w:rsid w:val="003669A2"/>
    <w:rsid w:val="00376B81"/>
    <w:rsid w:val="00390C0E"/>
    <w:rsid w:val="003B5647"/>
    <w:rsid w:val="003D4C3C"/>
    <w:rsid w:val="003F36C9"/>
    <w:rsid w:val="00420C69"/>
    <w:rsid w:val="00421973"/>
    <w:rsid w:val="004308F7"/>
    <w:rsid w:val="004368B3"/>
    <w:rsid w:val="004457C0"/>
    <w:rsid w:val="004508F2"/>
    <w:rsid w:val="00453762"/>
    <w:rsid w:val="00472F3B"/>
    <w:rsid w:val="00473BBB"/>
    <w:rsid w:val="00480485"/>
    <w:rsid w:val="00490A09"/>
    <w:rsid w:val="004C6B39"/>
    <w:rsid w:val="004D5526"/>
    <w:rsid w:val="004E14C8"/>
    <w:rsid w:val="004E36A7"/>
    <w:rsid w:val="004E3A0F"/>
    <w:rsid w:val="004F7FE1"/>
    <w:rsid w:val="00510237"/>
    <w:rsid w:val="005376DB"/>
    <w:rsid w:val="00543CD6"/>
    <w:rsid w:val="00586479"/>
    <w:rsid w:val="00590699"/>
    <w:rsid w:val="005B3D5C"/>
    <w:rsid w:val="005E3465"/>
    <w:rsid w:val="00627CC8"/>
    <w:rsid w:val="00656764"/>
    <w:rsid w:val="0067197D"/>
    <w:rsid w:val="00675CDE"/>
    <w:rsid w:val="00684F3B"/>
    <w:rsid w:val="0068676A"/>
    <w:rsid w:val="006908C3"/>
    <w:rsid w:val="006949E6"/>
    <w:rsid w:val="006A5489"/>
    <w:rsid w:val="006E25FE"/>
    <w:rsid w:val="006E6098"/>
    <w:rsid w:val="00700FE8"/>
    <w:rsid w:val="00785388"/>
    <w:rsid w:val="007B0648"/>
    <w:rsid w:val="007B4598"/>
    <w:rsid w:val="007B71AF"/>
    <w:rsid w:val="007D140D"/>
    <w:rsid w:val="007E73BB"/>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7327"/>
    <w:rsid w:val="008B641D"/>
    <w:rsid w:val="008C4E5C"/>
    <w:rsid w:val="008D3195"/>
    <w:rsid w:val="008E233A"/>
    <w:rsid w:val="008F529B"/>
    <w:rsid w:val="00905DD4"/>
    <w:rsid w:val="00913B10"/>
    <w:rsid w:val="009228D2"/>
    <w:rsid w:val="009509A3"/>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06726"/>
    <w:rsid w:val="00A142AD"/>
    <w:rsid w:val="00A310CA"/>
    <w:rsid w:val="00A33495"/>
    <w:rsid w:val="00A53AAF"/>
    <w:rsid w:val="00A748EB"/>
    <w:rsid w:val="00A825D5"/>
    <w:rsid w:val="00A9406D"/>
    <w:rsid w:val="00A943A0"/>
    <w:rsid w:val="00B03C81"/>
    <w:rsid w:val="00B03E96"/>
    <w:rsid w:val="00B21C46"/>
    <w:rsid w:val="00B37E91"/>
    <w:rsid w:val="00B4534C"/>
    <w:rsid w:val="00B514D4"/>
    <w:rsid w:val="00B62E66"/>
    <w:rsid w:val="00B75A5B"/>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A6A80"/>
    <w:rsid w:val="00CB31CA"/>
    <w:rsid w:val="00CC2AA2"/>
    <w:rsid w:val="00CE1C86"/>
    <w:rsid w:val="00D03C7C"/>
    <w:rsid w:val="00D06DE7"/>
    <w:rsid w:val="00D147FD"/>
    <w:rsid w:val="00D17AD4"/>
    <w:rsid w:val="00D86681"/>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E10D5"/>
    <w:rsid w:val="00F00D99"/>
    <w:rsid w:val="00F10D60"/>
    <w:rsid w:val="00F1239F"/>
    <w:rsid w:val="00F1766D"/>
    <w:rsid w:val="00F214A3"/>
    <w:rsid w:val="00F2448C"/>
    <w:rsid w:val="00F47D57"/>
    <w:rsid w:val="00F55A4E"/>
    <w:rsid w:val="00F61672"/>
    <w:rsid w:val="00F67BB3"/>
    <w:rsid w:val="00F83F8B"/>
    <w:rsid w:val="00F8777D"/>
    <w:rsid w:val="00F941D5"/>
    <w:rsid w:val="00FA4BC9"/>
    <w:rsid w:val="00FA53F1"/>
    <w:rsid w:val="00FB2E73"/>
    <w:rsid w:val="00FB605B"/>
    <w:rsid w:val="00FB67F9"/>
    <w:rsid w:val="00FD069D"/>
    <w:rsid w:val="00FE0CEB"/>
    <w:rsid w:val="00FE1BF0"/>
    <w:rsid w:val="00FF32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www.google.com/search?sxsrf=APq-WBvjm-k6Zy9EnMfFJFMJUR-kf4PwOA:1649753405534&amp;q=Bingley&amp;stick=H4sIAAAAAAAAAOPgE-LSz9U3MKoyzc4zV-IEsQ2NzUuytbSyk63084vSE_MyqxJLMvPzUDhWGamJKYWliUUlqUXFi1jZnTLz0nNSK3ewMu5iZ-JgAADwURm6VwAAAA&amp;sa=X&amp;ved=2ahUKEwj6ttCtko73AhUdRWwGHUsbByMQmxMoAXoECFUQAw"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67BFA-01EE-4AE8-87CE-4DD57536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2022-10-13T14:18:00Z</cp:lastPrinted>
  <dcterms:created xsi:type="dcterms:W3CDTF">2025-02-25T04:15:00Z</dcterms:created>
  <dcterms:modified xsi:type="dcterms:W3CDTF">2025-02-25T04:15:00Z</dcterms:modified>
</cp:coreProperties>
</file>